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E51" w:rsidRDefault="00000E51" w:rsidP="00000E51">
      <w:pPr>
        <w:spacing w:after="0" w:line="480" w:lineRule="auto"/>
        <w:rPr>
          <w:rFonts w:ascii="Times New Roman" w:hAnsi="Times New Roman" w:cs="Times New Roman"/>
          <w:sz w:val="24"/>
          <w:szCs w:val="24"/>
        </w:rPr>
      </w:pPr>
      <w:bookmarkStart w:id="0" w:name="_GoBack"/>
      <w:bookmarkEnd w:id="0"/>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jc w:val="center"/>
        <w:rPr>
          <w:rFonts w:ascii="Times New Roman" w:hAnsi="Times New Roman" w:cs="Times New Roman"/>
          <w:sz w:val="24"/>
          <w:szCs w:val="24"/>
        </w:rPr>
      </w:pPr>
    </w:p>
    <w:p w:rsidR="00000E51" w:rsidRDefault="00000E51" w:rsidP="00000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Topics on Taxation</w:t>
      </w:r>
    </w:p>
    <w:p w:rsidR="00000E51" w:rsidRDefault="00000E51" w:rsidP="00000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00E51" w:rsidRDefault="00000E51" w:rsidP="00000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000E51" w:rsidRDefault="00000E51" w:rsidP="00000E51">
      <w:pPr>
        <w:spacing w:after="0" w:line="480" w:lineRule="auto"/>
        <w:jc w:val="center"/>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Default="00000E51" w:rsidP="00000E51">
      <w:pPr>
        <w:spacing w:after="0" w:line="480" w:lineRule="auto"/>
        <w:rPr>
          <w:rFonts w:ascii="Times New Roman" w:hAnsi="Times New Roman" w:cs="Times New Roman"/>
          <w:sz w:val="24"/>
          <w:szCs w:val="24"/>
        </w:rPr>
      </w:pPr>
    </w:p>
    <w:p w:rsidR="00000E51" w:rsidRPr="00000E51" w:rsidRDefault="00000E51" w:rsidP="00000E51">
      <w:pPr>
        <w:spacing w:after="0" w:line="480" w:lineRule="auto"/>
        <w:rPr>
          <w:rFonts w:ascii="Times New Roman" w:hAnsi="Times New Roman" w:cs="Times New Roman"/>
          <w:sz w:val="24"/>
          <w:szCs w:val="24"/>
        </w:rPr>
      </w:pPr>
    </w:p>
    <w:p w:rsidR="00000E51" w:rsidRPr="00000E51" w:rsidRDefault="00000E51" w:rsidP="00000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Topics on Taxation</w:t>
      </w:r>
    </w:p>
    <w:p w:rsidR="00FC7DE6" w:rsidRPr="00FC7DE6" w:rsidRDefault="00FC7DE6" w:rsidP="00FC7DE6">
      <w:pPr>
        <w:spacing w:after="0" w:line="480" w:lineRule="auto"/>
        <w:jc w:val="center"/>
        <w:rPr>
          <w:rFonts w:ascii="Times New Roman" w:hAnsi="Times New Roman" w:cs="Times New Roman"/>
          <w:b/>
          <w:sz w:val="24"/>
          <w:szCs w:val="24"/>
        </w:rPr>
      </w:pPr>
      <w:r w:rsidRPr="00FC7DE6">
        <w:rPr>
          <w:rFonts w:ascii="Times New Roman" w:hAnsi="Times New Roman" w:cs="Times New Roman"/>
          <w:b/>
          <w:sz w:val="24"/>
          <w:szCs w:val="24"/>
        </w:rPr>
        <w:t>Question #1: Tax Expenditures</w:t>
      </w:r>
    </w:p>
    <w:p w:rsidR="00FC7DE6" w:rsidRPr="00FC7DE6" w:rsidRDefault="00FC7DE6" w:rsidP="00000E51">
      <w:pPr>
        <w:spacing w:after="0" w:line="480" w:lineRule="auto"/>
        <w:ind w:firstLine="720"/>
        <w:rPr>
          <w:rFonts w:ascii="Times New Roman" w:hAnsi="Times New Roman" w:cs="Times New Roman"/>
          <w:sz w:val="24"/>
          <w:szCs w:val="24"/>
        </w:rPr>
      </w:pPr>
      <w:r w:rsidRPr="00FC7DE6">
        <w:rPr>
          <w:rFonts w:ascii="Times New Roman" w:hAnsi="Times New Roman" w:cs="Times New Roman"/>
          <w:sz w:val="24"/>
          <w:szCs w:val="24"/>
        </w:rPr>
        <w:t xml:space="preserve">Tax expenditure is understood as special provisions of the tax code that benefits specific activities or group of taxpayers. These special provisions can include exclusions, deductions, deferrals, credits, and tax rates. Based on the tax expenditure estimate reports for the fiscal year of 2019-2023, education and training expenditure would remain the same for the next five years. For example, the credits for tuition for post-secondary education contained an estimate of $18.3 billion annually for the period between 2019 and 2023. However, exclusion of employer-provided tuition reduction benefits would increase in the next five year period (3.5, 3.6, 3.7, 3.8, and 3.8 billion in 2019, 2020, 2021, 2022, and 2023 respectively). Tax expenditure is helpful to tax policy analysis because it provides them with insights on all forms of government spending required in the budget-making process.  </w:t>
      </w:r>
    </w:p>
    <w:p w:rsidR="00FC7DE6" w:rsidRPr="00FC7DE6" w:rsidRDefault="00FC7DE6" w:rsidP="00FC7DE6">
      <w:pPr>
        <w:spacing w:after="0" w:line="480" w:lineRule="auto"/>
        <w:jc w:val="center"/>
        <w:rPr>
          <w:rFonts w:ascii="Times New Roman" w:hAnsi="Times New Roman" w:cs="Times New Roman"/>
          <w:b/>
          <w:sz w:val="24"/>
          <w:szCs w:val="24"/>
        </w:rPr>
      </w:pPr>
      <w:r w:rsidRPr="00FC7DE6">
        <w:rPr>
          <w:rFonts w:ascii="Times New Roman" w:hAnsi="Times New Roman" w:cs="Times New Roman"/>
          <w:b/>
          <w:sz w:val="24"/>
          <w:szCs w:val="24"/>
        </w:rPr>
        <w:t>Question #2: Mixed-motive Expenditure</w:t>
      </w:r>
    </w:p>
    <w:p w:rsidR="00FC7DE6" w:rsidRPr="00FC7DE6" w:rsidRDefault="00FC7DE6" w:rsidP="00000E51">
      <w:pPr>
        <w:spacing w:after="0" w:line="480" w:lineRule="auto"/>
        <w:ind w:firstLine="720"/>
        <w:rPr>
          <w:rFonts w:ascii="Times New Roman" w:hAnsi="Times New Roman" w:cs="Times New Roman"/>
          <w:sz w:val="24"/>
          <w:szCs w:val="24"/>
        </w:rPr>
      </w:pPr>
      <w:r w:rsidRPr="00FC7DE6">
        <w:rPr>
          <w:rFonts w:ascii="Times New Roman" w:hAnsi="Times New Roman" w:cs="Times New Roman"/>
          <w:sz w:val="24"/>
          <w:szCs w:val="24"/>
        </w:rPr>
        <w:t>Mixed-motive expenditures are all the activities that involve a mixture of business as well as personal objectives. This can include travel and transportation expenses such as transportation costs, meals, lodging costs, and incidental costs. Travel can be for personal or business reasons. For business purposes, all the travel costs are deductive except for meals which take half of the expenditure used in meals. However, if the travel is personal then, none of the transportation costs are deductible except for lodging, transportation, and incidental costs. If the travel involves personal and business, then the deductibles apply partly, which only affects the business part (irs.gov).</w:t>
      </w:r>
    </w:p>
    <w:p w:rsidR="00FC7DE6" w:rsidRPr="00FC7DE6" w:rsidRDefault="00FC7DE6" w:rsidP="00000E51">
      <w:pPr>
        <w:spacing w:after="0" w:line="480" w:lineRule="auto"/>
        <w:ind w:firstLine="720"/>
        <w:rPr>
          <w:rFonts w:ascii="Times New Roman" w:hAnsi="Times New Roman" w:cs="Times New Roman"/>
          <w:sz w:val="24"/>
          <w:szCs w:val="24"/>
        </w:rPr>
      </w:pPr>
      <w:r w:rsidRPr="00FC7DE6">
        <w:rPr>
          <w:rFonts w:ascii="Times New Roman" w:hAnsi="Times New Roman" w:cs="Times New Roman"/>
          <w:sz w:val="24"/>
          <w:szCs w:val="24"/>
        </w:rPr>
        <w:t xml:space="preserve">Everyone is expected to contribute taxes to the government, which involves all the deductibles. Irrespective of the accounting method one chooses to use, it is important to consider </w:t>
      </w:r>
      <w:r w:rsidRPr="00FC7DE6">
        <w:rPr>
          <w:rFonts w:ascii="Times New Roman" w:hAnsi="Times New Roman" w:cs="Times New Roman"/>
          <w:sz w:val="24"/>
          <w:szCs w:val="24"/>
        </w:rPr>
        <w:lastRenderedPageBreak/>
        <w:t>the set rules and laws used in determining when and how income, as well as expenses, is supposed to be reported (irs.gov).</w:t>
      </w:r>
    </w:p>
    <w:p w:rsidR="00FC7DE6" w:rsidRPr="00FC7DE6" w:rsidRDefault="00FC7DE6" w:rsidP="00FC7DE6">
      <w:pPr>
        <w:spacing w:after="0" w:line="480" w:lineRule="auto"/>
        <w:jc w:val="center"/>
        <w:rPr>
          <w:rFonts w:ascii="Times New Roman" w:hAnsi="Times New Roman" w:cs="Times New Roman"/>
          <w:b/>
          <w:sz w:val="24"/>
          <w:szCs w:val="24"/>
        </w:rPr>
      </w:pPr>
      <w:r w:rsidRPr="00FC7DE6">
        <w:rPr>
          <w:rFonts w:ascii="Times New Roman" w:hAnsi="Times New Roman" w:cs="Times New Roman"/>
          <w:b/>
          <w:sz w:val="24"/>
          <w:szCs w:val="24"/>
        </w:rPr>
        <w:t>Question #3: Tax Cuts and Jobs Act</w:t>
      </w:r>
    </w:p>
    <w:p w:rsidR="00FC7DE6" w:rsidRPr="00FC7DE6" w:rsidRDefault="00FC7DE6" w:rsidP="00000E51">
      <w:pPr>
        <w:spacing w:after="0" w:line="480" w:lineRule="auto"/>
        <w:ind w:firstLine="720"/>
        <w:rPr>
          <w:rFonts w:ascii="Times New Roman" w:hAnsi="Times New Roman" w:cs="Times New Roman"/>
          <w:sz w:val="24"/>
          <w:szCs w:val="24"/>
        </w:rPr>
      </w:pPr>
      <w:r w:rsidRPr="00FC7DE6">
        <w:rPr>
          <w:rFonts w:ascii="Times New Roman" w:hAnsi="Times New Roman" w:cs="Times New Roman"/>
          <w:sz w:val="24"/>
          <w:szCs w:val="24"/>
        </w:rPr>
        <w:t>With the introduction of Tax Cuts and Jobs Act (Tax Reform) put in place to eliminate the loopholes that existed with the performance-based pay, corporations have found a way to around this law. This includes combining or separating some business activities to shield them from paying the whole income tax. With the implementation of Code Section 162(m), executives limit the deductions that covered companies may take for anyone who has served in the executive position as either CEO or CFO (</w:t>
      </w:r>
      <w:proofErr w:type="spellStart"/>
      <w:r w:rsidRPr="00FC7DE6">
        <w:rPr>
          <w:rFonts w:ascii="Times New Roman" w:hAnsi="Times New Roman" w:cs="Times New Roman"/>
          <w:sz w:val="24"/>
          <w:szCs w:val="24"/>
        </w:rPr>
        <w:t>Olshan</w:t>
      </w:r>
      <w:proofErr w:type="spellEnd"/>
      <w:r w:rsidRPr="00FC7DE6">
        <w:rPr>
          <w:rFonts w:ascii="Times New Roman" w:hAnsi="Times New Roman" w:cs="Times New Roman"/>
          <w:sz w:val="24"/>
          <w:szCs w:val="24"/>
        </w:rPr>
        <w:t xml:space="preserve"> et al. (2018).The new changes expand the coverage to include the executives during the tax year. This means that the company can deduct and performance-based bonuses, stock options, as well as performance-based equity or deferred compensations, are no longer deductible under the new law (</w:t>
      </w:r>
      <w:proofErr w:type="spellStart"/>
      <w:r w:rsidRPr="00FC7DE6">
        <w:rPr>
          <w:rFonts w:ascii="Times New Roman" w:hAnsi="Times New Roman" w:cs="Times New Roman"/>
          <w:sz w:val="24"/>
          <w:szCs w:val="24"/>
        </w:rPr>
        <w:t>Olshan</w:t>
      </w:r>
      <w:proofErr w:type="spellEnd"/>
      <w:r w:rsidRPr="00FC7DE6">
        <w:rPr>
          <w:rFonts w:ascii="Times New Roman" w:hAnsi="Times New Roman" w:cs="Times New Roman"/>
          <w:sz w:val="24"/>
          <w:szCs w:val="24"/>
        </w:rPr>
        <w:t xml:space="preserve"> et al. 2018). Tax Cuts and Jobs Act has significantly changed the way business corporations operate. Since Tax Cut and Jobs Act has increased the demand for services and products, I think that companies can respond to this change by increasing their investment to fill in the gap as more people increase their spending. </w:t>
      </w:r>
    </w:p>
    <w:p w:rsidR="00FC7DE6" w:rsidRDefault="00FC7DE6" w:rsidP="00FC7DE6">
      <w:pPr>
        <w:spacing w:after="0" w:line="480" w:lineRule="auto"/>
        <w:rPr>
          <w:rFonts w:ascii="Times New Roman" w:hAnsi="Times New Roman" w:cs="Times New Roman"/>
          <w:sz w:val="24"/>
          <w:szCs w:val="24"/>
        </w:rPr>
      </w:pPr>
    </w:p>
    <w:p w:rsidR="00FC7DE6" w:rsidRDefault="00FC7DE6" w:rsidP="00FC7DE6">
      <w:pPr>
        <w:spacing w:after="0" w:line="480" w:lineRule="auto"/>
        <w:rPr>
          <w:rFonts w:ascii="Times New Roman" w:hAnsi="Times New Roman" w:cs="Times New Roman"/>
          <w:sz w:val="24"/>
          <w:szCs w:val="24"/>
        </w:rPr>
      </w:pPr>
    </w:p>
    <w:p w:rsidR="00FC7DE6" w:rsidRDefault="00FC7DE6" w:rsidP="00FC7DE6">
      <w:pPr>
        <w:spacing w:after="0" w:line="480" w:lineRule="auto"/>
        <w:rPr>
          <w:rFonts w:ascii="Times New Roman" w:hAnsi="Times New Roman" w:cs="Times New Roman"/>
          <w:sz w:val="24"/>
          <w:szCs w:val="24"/>
        </w:rPr>
      </w:pPr>
    </w:p>
    <w:p w:rsidR="00FC7DE6" w:rsidRDefault="00FC7DE6" w:rsidP="00FC7DE6">
      <w:pPr>
        <w:spacing w:after="0" w:line="480" w:lineRule="auto"/>
        <w:rPr>
          <w:rFonts w:ascii="Times New Roman" w:hAnsi="Times New Roman" w:cs="Times New Roman"/>
          <w:sz w:val="24"/>
          <w:szCs w:val="24"/>
        </w:rPr>
      </w:pPr>
    </w:p>
    <w:p w:rsidR="00FC7DE6" w:rsidRDefault="00FC7DE6" w:rsidP="00FC7DE6">
      <w:pPr>
        <w:spacing w:after="0" w:line="480" w:lineRule="auto"/>
        <w:rPr>
          <w:rFonts w:ascii="Times New Roman" w:hAnsi="Times New Roman" w:cs="Times New Roman"/>
          <w:sz w:val="24"/>
          <w:szCs w:val="24"/>
        </w:rPr>
      </w:pPr>
    </w:p>
    <w:p w:rsidR="00FC7DE6" w:rsidRDefault="00FC7DE6" w:rsidP="00FC7DE6">
      <w:pPr>
        <w:spacing w:after="0" w:line="480" w:lineRule="auto"/>
        <w:rPr>
          <w:rFonts w:ascii="Times New Roman" w:hAnsi="Times New Roman" w:cs="Times New Roman"/>
          <w:sz w:val="24"/>
          <w:szCs w:val="24"/>
        </w:rPr>
      </w:pPr>
    </w:p>
    <w:p w:rsidR="00FC7DE6" w:rsidRDefault="00FC7DE6" w:rsidP="00FC7DE6">
      <w:pPr>
        <w:spacing w:after="0" w:line="480" w:lineRule="auto"/>
        <w:rPr>
          <w:rFonts w:ascii="Times New Roman" w:hAnsi="Times New Roman" w:cs="Times New Roman"/>
          <w:sz w:val="24"/>
          <w:szCs w:val="24"/>
        </w:rPr>
      </w:pPr>
    </w:p>
    <w:p w:rsidR="00FC7DE6" w:rsidRPr="00FC7DE6" w:rsidRDefault="00B70F61" w:rsidP="00FC7DE6">
      <w:pPr>
        <w:spacing w:after="0" w:line="480" w:lineRule="auto"/>
        <w:jc w:val="center"/>
        <w:rPr>
          <w:rFonts w:ascii="Times New Roman" w:hAnsi="Times New Roman" w:cs="Times New Roman"/>
          <w:sz w:val="24"/>
          <w:szCs w:val="24"/>
        </w:rPr>
      </w:pPr>
      <w:r w:rsidRPr="00FC7DE6">
        <w:rPr>
          <w:rFonts w:ascii="Times New Roman" w:hAnsi="Times New Roman" w:cs="Times New Roman"/>
          <w:sz w:val="24"/>
          <w:szCs w:val="24"/>
        </w:rPr>
        <w:lastRenderedPageBreak/>
        <w:t>References</w:t>
      </w:r>
    </w:p>
    <w:p w:rsidR="00FC7DE6" w:rsidRPr="00FC7DE6" w:rsidRDefault="00FC7DE6" w:rsidP="00FC7DE6">
      <w:pPr>
        <w:spacing w:after="0" w:line="480" w:lineRule="auto"/>
        <w:ind w:left="720" w:hanging="720"/>
        <w:rPr>
          <w:rFonts w:ascii="Times New Roman" w:hAnsi="Times New Roman" w:cs="Times New Roman"/>
          <w:sz w:val="24"/>
          <w:szCs w:val="24"/>
        </w:rPr>
      </w:pPr>
      <w:proofErr w:type="gramStart"/>
      <w:r w:rsidRPr="00FC7DE6">
        <w:rPr>
          <w:rFonts w:ascii="Times New Roman" w:hAnsi="Times New Roman" w:cs="Times New Roman"/>
          <w:sz w:val="24"/>
          <w:szCs w:val="24"/>
        </w:rPr>
        <w:t xml:space="preserve">Irs.gov. Publication 535 (2019), </w:t>
      </w:r>
      <w:r w:rsidRPr="00FC7DE6">
        <w:rPr>
          <w:rFonts w:ascii="Times New Roman" w:hAnsi="Times New Roman" w:cs="Times New Roman"/>
          <w:i/>
          <w:sz w:val="24"/>
          <w:szCs w:val="24"/>
        </w:rPr>
        <w:t>Business Expenses.</w:t>
      </w:r>
      <w:proofErr w:type="gramEnd"/>
      <w:r w:rsidRPr="00FC7DE6">
        <w:rPr>
          <w:rFonts w:ascii="Times New Roman" w:hAnsi="Times New Roman" w:cs="Times New Roman"/>
          <w:sz w:val="24"/>
          <w:szCs w:val="24"/>
        </w:rPr>
        <w:t xml:space="preserve"> Retrieved from https://www.irs.gov/publications/p535</w:t>
      </w:r>
    </w:p>
    <w:p w:rsidR="00FC7DE6" w:rsidRPr="00FC7DE6" w:rsidRDefault="00FC7DE6" w:rsidP="00FC7DE6">
      <w:pPr>
        <w:spacing w:after="0" w:line="480" w:lineRule="auto"/>
        <w:ind w:left="720" w:hanging="720"/>
        <w:rPr>
          <w:rFonts w:ascii="Times New Roman" w:hAnsi="Times New Roman" w:cs="Times New Roman"/>
          <w:sz w:val="24"/>
          <w:szCs w:val="24"/>
        </w:rPr>
      </w:pPr>
      <w:proofErr w:type="spellStart"/>
      <w:r w:rsidRPr="00FC7DE6">
        <w:rPr>
          <w:rFonts w:ascii="Times New Roman" w:hAnsi="Times New Roman" w:cs="Times New Roman"/>
          <w:sz w:val="24"/>
          <w:szCs w:val="24"/>
        </w:rPr>
        <w:t>Olshan</w:t>
      </w:r>
      <w:proofErr w:type="spellEnd"/>
      <w:r w:rsidRPr="00FC7DE6">
        <w:rPr>
          <w:rFonts w:ascii="Times New Roman" w:hAnsi="Times New Roman" w:cs="Times New Roman"/>
          <w:sz w:val="24"/>
          <w:szCs w:val="24"/>
        </w:rPr>
        <w:t xml:space="preserve">, R., </w:t>
      </w:r>
      <w:proofErr w:type="spellStart"/>
      <w:r w:rsidRPr="00FC7DE6">
        <w:rPr>
          <w:rFonts w:ascii="Times New Roman" w:hAnsi="Times New Roman" w:cs="Times New Roman"/>
          <w:sz w:val="24"/>
          <w:szCs w:val="24"/>
        </w:rPr>
        <w:t>Penko</w:t>
      </w:r>
      <w:proofErr w:type="spellEnd"/>
      <w:r w:rsidRPr="00FC7DE6">
        <w:rPr>
          <w:rFonts w:ascii="Times New Roman" w:hAnsi="Times New Roman" w:cs="Times New Roman"/>
          <w:sz w:val="24"/>
          <w:szCs w:val="24"/>
        </w:rPr>
        <w:t xml:space="preserve">, M. J., </w:t>
      </w:r>
      <w:proofErr w:type="spellStart"/>
      <w:r w:rsidRPr="00FC7DE6">
        <w:rPr>
          <w:rFonts w:ascii="Times New Roman" w:hAnsi="Times New Roman" w:cs="Times New Roman"/>
          <w:sz w:val="24"/>
          <w:szCs w:val="24"/>
        </w:rPr>
        <w:t>Schohn</w:t>
      </w:r>
      <w:proofErr w:type="spellEnd"/>
      <w:r w:rsidRPr="00FC7DE6">
        <w:rPr>
          <w:rFonts w:ascii="Times New Roman" w:hAnsi="Times New Roman" w:cs="Times New Roman"/>
          <w:sz w:val="24"/>
          <w:szCs w:val="24"/>
        </w:rPr>
        <w:t xml:space="preserve">, E., &amp; </w:t>
      </w:r>
      <w:proofErr w:type="spellStart"/>
      <w:r w:rsidRPr="00FC7DE6">
        <w:rPr>
          <w:rFonts w:ascii="Times New Roman" w:hAnsi="Times New Roman" w:cs="Times New Roman"/>
          <w:sz w:val="24"/>
          <w:szCs w:val="24"/>
        </w:rPr>
        <w:t>Yaffe</w:t>
      </w:r>
      <w:proofErr w:type="spellEnd"/>
      <w:r w:rsidRPr="00FC7DE6">
        <w:rPr>
          <w:rFonts w:ascii="Times New Roman" w:hAnsi="Times New Roman" w:cs="Times New Roman"/>
          <w:sz w:val="24"/>
          <w:szCs w:val="24"/>
        </w:rPr>
        <w:t xml:space="preserve">, M. J. (2018 January, 4). “Section 162(m) after the Tax Cuts and Jobs Act: What to do now.” </w:t>
      </w:r>
      <w:proofErr w:type="spellStart"/>
      <w:proofErr w:type="gramStart"/>
      <w:r w:rsidRPr="00FC7DE6">
        <w:rPr>
          <w:rFonts w:ascii="Times New Roman" w:hAnsi="Times New Roman" w:cs="Times New Roman"/>
          <w:i/>
          <w:sz w:val="24"/>
          <w:szCs w:val="24"/>
        </w:rPr>
        <w:t>Skadden</w:t>
      </w:r>
      <w:proofErr w:type="spellEnd"/>
      <w:r w:rsidRPr="00FC7DE6">
        <w:rPr>
          <w:rFonts w:ascii="Times New Roman" w:hAnsi="Times New Roman" w:cs="Times New Roman"/>
          <w:sz w:val="24"/>
          <w:szCs w:val="24"/>
        </w:rPr>
        <w:t>.</w:t>
      </w:r>
      <w:proofErr w:type="gramEnd"/>
      <w:r w:rsidRPr="00FC7DE6">
        <w:rPr>
          <w:rFonts w:ascii="Times New Roman" w:hAnsi="Times New Roman" w:cs="Times New Roman"/>
          <w:sz w:val="24"/>
          <w:szCs w:val="24"/>
        </w:rPr>
        <w:t xml:space="preserve"> Retrieved from https://www.skadden.com/insights/publications/2018/01/section-162m-after-the-tax-cuts-and-jobs-act</w:t>
      </w:r>
    </w:p>
    <w:p w:rsidR="00B70F61" w:rsidRPr="00FC7DE6" w:rsidRDefault="00FC7DE6" w:rsidP="00FC7DE6">
      <w:pPr>
        <w:spacing w:after="0" w:line="480" w:lineRule="auto"/>
        <w:ind w:left="720" w:hanging="720"/>
        <w:rPr>
          <w:rFonts w:ascii="Times New Roman" w:hAnsi="Times New Roman" w:cs="Times New Roman"/>
          <w:sz w:val="24"/>
          <w:szCs w:val="24"/>
        </w:rPr>
      </w:pPr>
      <w:proofErr w:type="gramStart"/>
      <w:r w:rsidRPr="00FC7DE6">
        <w:rPr>
          <w:rFonts w:ascii="Times New Roman" w:hAnsi="Times New Roman" w:cs="Times New Roman"/>
          <w:sz w:val="24"/>
          <w:szCs w:val="24"/>
        </w:rPr>
        <w:t>The Staff of the Joint Committee on Taxation.</w:t>
      </w:r>
      <w:proofErr w:type="gramEnd"/>
      <w:r w:rsidRPr="00FC7DE6">
        <w:rPr>
          <w:rFonts w:ascii="Times New Roman" w:hAnsi="Times New Roman" w:cs="Times New Roman"/>
          <w:sz w:val="24"/>
          <w:szCs w:val="24"/>
        </w:rPr>
        <w:t xml:space="preserve"> </w:t>
      </w:r>
      <w:proofErr w:type="gramStart"/>
      <w:r w:rsidRPr="00FC7DE6">
        <w:rPr>
          <w:rFonts w:ascii="Times New Roman" w:hAnsi="Times New Roman" w:cs="Times New Roman"/>
          <w:sz w:val="24"/>
          <w:szCs w:val="24"/>
        </w:rPr>
        <w:t>(2019). Estimates of Federal Tax Expenditures for Fiscal Years 2019-2023.</w:t>
      </w:r>
      <w:proofErr w:type="gramEnd"/>
      <w:r w:rsidRPr="00FC7DE6">
        <w:rPr>
          <w:rFonts w:ascii="Times New Roman" w:hAnsi="Times New Roman" w:cs="Times New Roman"/>
          <w:sz w:val="24"/>
          <w:szCs w:val="24"/>
        </w:rPr>
        <w:t xml:space="preserve"> </w:t>
      </w:r>
      <w:r w:rsidRPr="00FC7DE6">
        <w:rPr>
          <w:rFonts w:ascii="Times New Roman" w:hAnsi="Times New Roman" w:cs="Times New Roman"/>
          <w:i/>
          <w:sz w:val="24"/>
          <w:szCs w:val="24"/>
        </w:rPr>
        <w:t>The Joint Committee on Taxation, Congress of the United States.</w:t>
      </w:r>
      <w:r w:rsidRPr="00FC7DE6">
        <w:rPr>
          <w:rFonts w:ascii="Times New Roman" w:hAnsi="Times New Roman" w:cs="Times New Roman"/>
          <w:sz w:val="24"/>
          <w:szCs w:val="24"/>
        </w:rPr>
        <w:t xml:space="preserve"> Retrieved from https://www.jct.gov/publications.html?func=startdown&amp;id=5239</w:t>
      </w:r>
    </w:p>
    <w:sectPr w:rsidR="00B70F61" w:rsidRPr="00FC7DE6" w:rsidSect="00FC7D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B71" w:rsidRDefault="00312B71" w:rsidP="00FC7DE6">
      <w:pPr>
        <w:spacing w:after="0" w:line="240" w:lineRule="auto"/>
      </w:pPr>
      <w:r>
        <w:separator/>
      </w:r>
    </w:p>
  </w:endnote>
  <w:endnote w:type="continuationSeparator" w:id="0">
    <w:p w:rsidR="00312B71" w:rsidRDefault="00312B71" w:rsidP="00FC7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B71" w:rsidRDefault="00312B71" w:rsidP="00FC7DE6">
      <w:pPr>
        <w:spacing w:after="0" w:line="240" w:lineRule="auto"/>
      </w:pPr>
      <w:r>
        <w:separator/>
      </w:r>
    </w:p>
  </w:footnote>
  <w:footnote w:type="continuationSeparator" w:id="0">
    <w:p w:rsidR="00312B71" w:rsidRDefault="00312B71" w:rsidP="00FC7D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51" w:rsidRPr="00000E51" w:rsidRDefault="00000E51">
    <w:pPr>
      <w:pStyle w:val="Header"/>
      <w:rPr>
        <w:rFonts w:ascii="Times New Roman" w:hAnsi="Times New Roman" w:cs="Times New Roman"/>
        <w:sz w:val="24"/>
        <w:szCs w:val="24"/>
      </w:rPr>
    </w:pPr>
    <w:r w:rsidRPr="00000E51">
      <w:rPr>
        <w:rFonts w:ascii="Times New Roman" w:hAnsi="Times New Roman" w:cs="Times New Roman"/>
        <w:sz w:val="24"/>
        <w:szCs w:val="24"/>
      </w:rPr>
      <w:t xml:space="preserve">TAXATION </w:t>
    </w:r>
    <w:r w:rsidRPr="00000E51">
      <w:rPr>
        <w:rFonts w:ascii="Times New Roman" w:hAnsi="Times New Roman" w:cs="Times New Roman"/>
        <w:sz w:val="24"/>
        <w:szCs w:val="24"/>
      </w:rPr>
      <w:tab/>
    </w:r>
    <w:r w:rsidRPr="00000E51">
      <w:rPr>
        <w:rFonts w:ascii="Times New Roman" w:hAnsi="Times New Roman" w:cs="Times New Roman"/>
        <w:sz w:val="24"/>
        <w:szCs w:val="24"/>
      </w:rPr>
      <w:tab/>
    </w:r>
    <w:r w:rsidRPr="00000E51">
      <w:rPr>
        <w:rFonts w:ascii="Times New Roman" w:hAnsi="Times New Roman" w:cs="Times New Roman"/>
        <w:sz w:val="24"/>
        <w:szCs w:val="24"/>
      </w:rPr>
      <w:fldChar w:fldCharType="begin"/>
    </w:r>
    <w:r w:rsidRPr="00000E51">
      <w:rPr>
        <w:rFonts w:ascii="Times New Roman" w:hAnsi="Times New Roman" w:cs="Times New Roman"/>
        <w:sz w:val="24"/>
        <w:szCs w:val="24"/>
      </w:rPr>
      <w:instrText xml:space="preserve"> PAGE   \* MERGEFORMAT </w:instrText>
    </w:r>
    <w:r w:rsidRPr="00000E51">
      <w:rPr>
        <w:rFonts w:ascii="Times New Roman" w:hAnsi="Times New Roman" w:cs="Times New Roman"/>
        <w:sz w:val="24"/>
        <w:szCs w:val="24"/>
      </w:rPr>
      <w:fldChar w:fldCharType="separate"/>
    </w:r>
    <w:r w:rsidR="00307706">
      <w:rPr>
        <w:rFonts w:ascii="Times New Roman" w:hAnsi="Times New Roman" w:cs="Times New Roman"/>
        <w:noProof/>
        <w:sz w:val="24"/>
        <w:szCs w:val="24"/>
      </w:rPr>
      <w:t>2</w:t>
    </w:r>
    <w:r w:rsidRPr="00000E5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DE6" w:rsidRPr="00FC7DE6" w:rsidRDefault="00000E51" w:rsidP="00FC7DE6">
    <w:pPr>
      <w:pStyle w:val="Header"/>
      <w:jc w:val="right"/>
      <w:rPr>
        <w:rFonts w:ascii="Times New Roman" w:hAnsi="Times New Roman" w:cs="Times New Roman"/>
        <w:sz w:val="24"/>
        <w:szCs w:val="24"/>
      </w:rPr>
    </w:pPr>
    <w:r w:rsidRPr="00000E51">
      <w:rPr>
        <w:rFonts w:ascii="Times New Roman" w:hAnsi="Times New Roman" w:cs="Times New Roman"/>
        <w:sz w:val="24"/>
        <w:szCs w:val="24"/>
      </w:rPr>
      <w:fldChar w:fldCharType="begin"/>
    </w:r>
    <w:r w:rsidRPr="00000E51">
      <w:rPr>
        <w:rFonts w:ascii="Times New Roman" w:hAnsi="Times New Roman" w:cs="Times New Roman"/>
        <w:sz w:val="24"/>
        <w:szCs w:val="24"/>
      </w:rPr>
      <w:instrText xml:space="preserve"> PAGE   \* MERGEFORMAT </w:instrText>
    </w:r>
    <w:r w:rsidRPr="00000E51">
      <w:rPr>
        <w:rFonts w:ascii="Times New Roman" w:hAnsi="Times New Roman" w:cs="Times New Roman"/>
        <w:sz w:val="24"/>
        <w:szCs w:val="24"/>
      </w:rPr>
      <w:fldChar w:fldCharType="separate"/>
    </w:r>
    <w:r w:rsidR="00307706">
      <w:rPr>
        <w:rFonts w:ascii="Times New Roman" w:hAnsi="Times New Roman" w:cs="Times New Roman"/>
        <w:noProof/>
        <w:sz w:val="24"/>
        <w:szCs w:val="24"/>
      </w:rPr>
      <w:t>1</w:t>
    </w:r>
    <w:r w:rsidRPr="00000E5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1C4"/>
    <w:rsid w:val="00000E51"/>
    <w:rsid w:val="00116E59"/>
    <w:rsid w:val="00275D2D"/>
    <w:rsid w:val="00307706"/>
    <w:rsid w:val="00312B71"/>
    <w:rsid w:val="005659DF"/>
    <w:rsid w:val="007A22F9"/>
    <w:rsid w:val="009D7E3D"/>
    <w:rsid w:val="00B06BA4"/>
    <w:rsid w:val="00B251C4"/>
    <w:rsid w:val="00B70F61"/>
    <w:rsid w:val="00FC7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7DE6"/>
    <w:rPr>
      <w:color w:val="0000FF"/>
      <w:u w:val="single"/>
    </w:rPr>
  </w:style>
  <w:style w:type="paragraph" w:styleId="Header">
    <w:name w:val="header"/>
    <w:basedOn w:val="Normal"/>
    <w:link w:val="HeaderChar"/>
    <w:uiPriority w:val="99"/>
    <w:unhideWhenUsed/>
    <w:rsid w:val="00FC7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DE6"/>
  </w:style>
  <w:style w:type="paragraph" w:styleId="Footer">
    <w:name w:val="footer"/>
    <w:basedOn w:val="Normal"/>
    <w:link w:val="FooterChar"/>
    <w:uiPriority w:val="99"/>
    <w:unhideWhenUsed/>
    <w:rsid w:val="00FC7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D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C7DE6"/>
    <w:rPr>
      <w:color w:val="0000FF"/>
      <w:u w:val="single"/>
    </w:rPr>
  </w:style>
  <w:style w:type="paragraph" w:styleId="Header">
    <w:name w:val="header"/>
    <w:basedOn w:val="Normal"/>
    <w:link w:val="HeaderChar"/>
    <w:uiPriority w:val="99"/>
    <w:unhideWhenUsed/>
    <w:rsid w:val="00FC7D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DE6"/>
  </w:style>
  <w:style w:type="paragraph" w:styleId="Footer">
    <w:name w:val="footer"/>
    <w:basedOn w:val="Normal"/>
    <w:link w:val="FooterChar"/>
    <w:uiPriority w:val="99"/>
    <w:unhideWhenUsed/>
    <w:rsid w:val="00FC7D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2020-08-11T08:58:00Z</dcterms:created>
  <dcterms:modified xsi:type="dcterms:W3CDTF">2020-08-11T08:58:00Z</dcterms:modified>
</cp:coreProperties>
</file>